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651B" w14:textId="77777777" w:rsidR="0063465C" w:rsidRPr="0063465C" w:rsidRDefault="0063465C" w:rsidP="0063465C">
      <w:pPr>
        <w:spacing w:after="0"/>
        <w:rPr>
          <w:b/>
          <w:bCs/>
        </w:rPr>
      </w:pPr>
      <w:r w:rsidRPr="0063465C">
        <w:rPr>
          <w:b/>
          <w:bCs/>
        </w:rPr>
        <w:t>Assistant Director of Revenue Cycle</w:t>
      </w:r>
    </w:p>
    <w:p w14:paraId="313466FF" w14:textId="77777777" w:rsidR="0063465C" w:rsidRPr="0063465C" w:rsidRDefault="0063465C" w:rsidP="0063465C">
      <w:pPr>
        <w:spacing w:after="0"/>
      </w:pPr>
      <w:r w:rsidRPr="0063465C">
        <w:rPr>
          <w:b/>
          <w:bCs/>
        </w:rPr>
        <w:t>Job Description</w:t>
      </w:r>
    </w:p>
    <w:p w14:paraId="4260023A" w14:textId="77777777" w:rsidR="0063465C" w:rsidRPr="0063465C" w:rsidRDefault="0063465C" w:rsidP="0063465C">
      <w:pPr>
        <w:spacing w:after="0"/>
        <w:rPr>
          <w:b/>
          <w:bCs/>
        </w:rPr>
      </w:pPr>
      <w:r w:rsidRPr="0063465C">
        <w:rPr>
          <w:b/>
          <w:bCs/>
        </w:rPr>
        <w:t>Position Summary</w:t>
      </w:r>
    </w:p>
    <w:p w14:paraId="784250BF" w14:textId="77777777" w:rsidR="0063465C" w:rsidRPr="0063465C" w:rsidRDefault="0063465C" w:rsidP="0063465C">
      <w:pPr>
        <w:spacing w:after="0"/>
      </w:pPr>
      <w:r w:rsidRPr="0063465C">
        <w:t>The Assistant Director of Revenue Cycle assists with the daily oversight and coordination of revenue cycle operations for the hospital and affiliated clinics. This position supports billing, reimbursement, denial management, payer compliance, and revenue integrity initiatives to ensure accurate and timely reimbursement.</w:t>
      </w:r>
    </w:p>
    <w:p w14:paraId="23209BE3" w14:textId="77777777" w:rsidR="0063465C" w:rsidRPr="0063465C" w:rsidRDefault="0063465C" w:rsidP="0063465C">
      <w:pPr>
        <w:spacing w:after="0"/>
      </w:pPr>
      <w:r w:rsidRPr="0063465C">
        <w:pict w14:anchorId="0BBFC5E4">
          <v:rect id="_x0000_i1049" style="width:0;height:1.5pt" o:hralign="center" o:hrstd="t" o:hr="t" fillcolor="#a0a0a0" stroked="f"/>
        </w:pict>
      </w:r>
    </w:p>
    <w:p w14:paraId="3509078A" w14:textId="77777777" w:rsidR="0063465C" w:rsidRPr="0063465C" w:rsidRDefault="0063465C" w:rsidP="0063465C">
      <w:pPr>
        <w:spacing w:after="0"/>
        <w:rPr>
          <w:b/>
          <w:bCs/>
        </w:rPr>
      </w:pPr>
      <w:r w:rsidRPr="0063465C">
        <w:rPr>
          <w:b/>
          <w:bCs/>
        </w:rPr>
        <w:t>Essential Duties &amp; Responsibilities</w:t>
      </w:r>
    </w:p>
    <w:p w14:paraId="36731C30" w14:textId="77777777" w:rsidR="0063465C" w:rsidRPr="0063465C" w:rsidRDefault="0063465C" w:rsidP="0063465C">
      <w:pPr>
        <w:numPr>
          <w:ilvl w:val="0"/>
          <w:numId w:val="1"/>
        </w:numPr>
        <w:spacing w:after="0"/>
      </w:pPr>
      <w:r w:rsidRPr="0063465C">
        <w:t xml:space="preserve">Assist with oversight of revenue cycle functions including: </w:t>
      </w:r>
    </w:p>
    <w:p w14:paraId="790D3C38" w14:textId="77777777" w:rsidR="0063465C" w:rsidRPr="0063465C" w:rsidRDefault="0063465C" w:rsidP="0063465C">
      <w:pPr>
        <w:numPr>
          <w:ilvl w:val="1"/>
          <w:numId w:val="1"/>
        </w:numPr>
        <w:spacing w:after="0"/>
      </w:pPr>
      <w:r w:rsidRPr="0063465C">
        <w:t xml:space="preserve">Registration and insurance verification </w:t>
      </w:r>
    </w:p>
    <w:p w14:paraId="0BCC27EF" w14:textId="77777777" w:rsidR="0063465C" w:rsidRPr="0063465C" w:rsidRDefault="0063465C" w:rsidP="0063465C">
      <w:pPr>
        <w:numPr>
          <w:ilvl w:val="1"/>
          <w:numId w:val="1"/>
        </w:numPr>
        <w:spacing w:after="0"/>
      </w:pPr>
      <w:r w:rsidRPr="0063465C">
        <w:t xml:space="preserve">Prior authorizations </w:t>
      </w:r>
    </w:p>
    <w:p w14:paraId="3224AB68" w14:textId="77777777" w:rsidR="0063465C" w:rsidRPr="0063465C" w:rsidRDefault="0063465C" w:rsidP="0063465C">
      <w:pPr>
        <w:numPr>
          <w:ilvl w:val="1"/>
          <w:numId w:val="1"/>
        </w:numPr>
        <w:spacing w:after="0"/>
      </w:pPr>
      <w:r w:rsidRPr="0063465C">
        <w:t xml:space="preserve">Charge capture </w:t>
      </w:r>
    </w:p>
    <w:p w14:paraId="43D0755F" w14:textId="77777777" w:rsidR="0063465C" w:rsidRPr="0063465C" w:rsidRDefault="0063465C" w:rsidP="0063465C">
      <w:pPr>
        <w:numPr>
          <w:ilvl w:val="1"/>
          <w:numId w:val="1"/>
        </w:numPr>
        <w:spacing w:after="0"/>
      </w:pPr>
      <w:r w:rsidRPr="0063465C">
        <w:t xml:space="preserve">Coding and billing </w:t>
      </w:r>
    </w:p>
    <w:p w14:paraId="2F338705" w14:textId="77777777" w:rsidR="0063465C" w:rsidRPr="0063465C" w:rsidRDefault="0063465C" w:rsidP="0063465C">
      <w:pPr>
        <w:numPr>
          <w:ilvl w:val="1"/>
          <w:numId w:val="1"/>
        </w:numPr>
        <w:spacing w:after="0"/>
      </w:pPr>
      <w:r w:rsidRPr="0063465C">
        <w:t xml:space="preserve">Claims follow-up and denials </w:t>
      </w:r>
    </w:p>
    <w:p w14:paraId="66CF858F" w14:textId="77777777" w:rsidR="0063465C" w:rsidRPr="0063465C" w:rsidRDefault="0063465C" w:rsidP="0063465C">
      <w:pPr>
        <w:numPr>
          <w:ilvl w:val="1"/>
          <w:numId w:val="1"/>
        </w:numPr>
        <w:spacing w:after="0"/>
      </w:pPr>
      <w:r w:rsidRPr="0063465C">
        <w:t xml:space="preserve">Payment posting and accounts receivable </w:t>
      </w:r>
    </w:p>
    <w:p w14:paraId="4243A860" w14:textId="77777777" w:rsidR="0063465C" w:rsidRPr="0063465C" w:rsidRDefault="0063465C" w:rsidP="0063465C">
      <w:pPr>
        <w:numPr>
          <w:ilvl w:val="0"/>
          <w:numId w:val="1"/>
        </w:numPr>
        <w:spacing w:after="0"/>
      </w:pPr>
      <w:r w:rsidRPr="0063465C">
        <w:t xml:space="preserve">Monitor billing workflows and reimbursement trends. </w:t>
      </w:r>
    </w:p>
    <w:p w14:paraId="389F3428" w14:textId="77777777" w:rsidR="0063465C" w:rsidRPr="0063465C" w:rsidRDefault="0063465C" w:rsidP="0063465C">
      <w:pPr>
        <w:numPr>
          <w:ilvl w:val="0"/>
          <w:numId w:val="1"/>
        </w:numPr>
        <w:spacing w:after="0"/>
      </w:pPr>
      <w:r w:rsidRPr="0063465C">
        <w:t xml:space="preserve">Assist with denial management, appeals, and payer issue resolution. </w:t>
      </w:r>
    </w:p>
    <w:p w14:paraId="4EA0AEBC" w14:textId="77777777" w:rsidR="0063465C" w:rsidRPr="0063465C" w:rsidRDefault="0063465C" w:rsidP="0063465C">
      <w:pPr>
        <w:numPr>
          <w:ilvl w:val="0"/>
          <w:numId w:val="1"/>
        </w:numPr>
        <w:spacing w:after="0"/>
      </w:pPr>
      <w:r w:rsidRPr="0063465C">
        <w:t xml:space="preserve">Ensure compliance with Medicare, Medicaid, commercial payer, and regulatory requirements. </w:t>
      </w:r>
    </w:p>
    <w:p w14:paraId="055C31BA" w14:textId="77777777" w:rsidR="0063465C" w:rsidRPr="0063465C" w:rsidRDefault="0063465C" w:rsidP="0063465C">
      <w:pPr>
        <w:numPr>
          <w:ilvl w:val="0"/>
          <w:numId w:val="1"/>
        </w:numPr>
        <w:spacing w:after="0"/>
      </w:pPr>
      <w:r w:rsidRPr="0063465C">
        <w:t xml:space="preserve">Support chargemaster maintenance and revenue integrity efforts. </w:t>
      </w:r>
    </w:p>
    <w:p w14:paraId="3CEC4E5D" w14:textId="77777777" w:rsidR="0063465C" w:rsidRPr="0063465C" w:rsidRDefault="0063465C" w:rsidP="0063465C">
      <w:pPr>
        <w:numPr>
          <w:ilvl w:val="0"/>
          <w:numId w:val="1"/>
        </w:numPr>
        <w:spacing w:after="0"/>
      </w:pPr>
      <w:r w:rsidRPr="0063465C">
        <w:t xml:space="preserve">Assist with staff training, productivity monitoring, and process improvement initiatives. </w:t>
      </w:r>
    </w:p>
    <w:p w14:paraId="50871C8D" w14:textId="77777777" w:rsidR="0063465C" w:rsidRPr="0063465C" w:rsidRDefault="0063465C" w:rsidP="0063465C">
      <w:pPr>
        <w:numPr>
          <w:ilvl w:val="0"/>
          <w:numId w:val="1"/>
        </w:numPr>
        <w:spacing w:after="0"/>
      </w:pPr>
      <w:r w:rsidRPr="0063465C">
        <w:t xml:space="preserve">Generate and review revenue cycle reports and KPIs. </w:t>
      </w:r>
    </w:p>
    <w:p w14:paraId="6A5F3419" w14:textId="77777777" w:rsidR="0063465C" w:rsidRPr="0063465C" w:rsidRDefault="0063465C" w:rsidP="0063465C">
      <w:pPr>
        <w:numPr>
          <w:ilvl w:val="0"/>
          <w:numId w:val="1"/>
        </w:numPr>
        <w:spacing w:after="0"/>
      </w:pPr>
      <w:r w:rsidRPr="0063465C">
        <w:t xml:space="preserve">Collaborate with clinical departments, HIM, finance, and providers to improve financial performance. </w:t>
      </w:r>
    </w:p>
    <w:p w14:paraId="615E8BFB" w14:textId="77777777" w:rsidR="0063465C" w:rsidRPr="0063465C" w:rsidRDefault="0063465C" w:rsidP="0063465C">
      <w:pPr>
        <w:spacing w:after="0"/>
      </w:pPr>
      <w:r w:rsidRPr="0063465C">
        <w:pict w14:anchorId="57177419">
          <v:rect id="_x0000_i1050" style="width:0;height:1.5pt" o:hralign="center" o:hrstd="t" o:hr="t" fillcolor="#a0a0a0" stroked="f"/>
        </w:pict>
      </w:r>
    </w:p>
    <w:p w14:paraId="032D016A" w14:textId="77777777" w:rsidR="0063465C" w:rsidRPr="0063465C" w:rsidRDefault="0063465C" w:rsidP="0063465C">
      <w:pPr>
        <w:spacing w:after="0"/>
        <w:rPr>
          <w:b/>
          <w:bCs/>
        </w:rPr>
      </w:pPr>
      <w:r w:rsidRPr="0063465C">
        <w:rPr>
          <w:b/>
          <w:bCs/>
        </w:rPr>
        <w:t>Qualifications</w:t>
      </w:r>
    </w:p>
    <w:p w14:paraId="709C0231" w14:textId="77777777" w:rsidR="0063465C" w:rsidRPr="0063465C" w:rsidRDefault="0063465C" w:rsidP="0063465C">
      <w:pPr>
        <w:numPr>
          <w:ilvl w:val="0"/>
          <w:numId w:val="2"/>
        </w:numPr>
        <w:spacing w:after="0"/>
      </w:pPr>
      <w:r w:rsidRPr="0063465C">
        <w:t xml:space="preserve">Associate degree required; Bachelor’s degree preferred in healthcare, business, or related field. </w:t>
      </w:r>
    </w:p>
    <w:p w14:paraId="2C0D04F8" w14:textId="77777777" w:rsidR="0063465C" w:rsidRPr="0063465C" w:rsidRDefault="0063465C" w:rsidP="0063465C">
      <w:pPr>
        <w:numPr>
          <w:ilvl w:val="0"/>
          <w:numId w:val="2"/>
        </w:numPr>
        <w:spacing w:after="0"/>
      </w:pPr>
      <w:r w:rsidRPr="0063465C">
        <w:t xml:space="preserve">3–5 years of healthcare revenue cycle experience required. </w:t>
      </w:r>
    </w:p>
    <w:p w14:paraId="0A846F8B" w14:textId="77777777" w:rsidR="0063465C" w:rsidRPr="0063465C" w:rsidRDefault="0063465C" w:rsidP="0063465C">
      <w:pPr>
        <w:numPr>
          <w:ilvl w:val="0"/>
          <w:numId w:val="2"/>
        </w:numPr>
        <w:spacing w:after="0"/>
      </w:pPr>
      <w:r w:rsidRPr="0063465C">
        <w:t xml:space="preserve">Leadership or supervisory experience preferred. </w:t>
      </w:r>
    </w:p>
    <w:p w14:paraId="15B7EBFC" w14:textId="77777777" w:rsidR="0063465C" w:rsidRPr="0063465C" w:rsidRDefault="0063465C" w:rsidP="0063465C">
      <w:pPr>
        <w:numPr>
          <w:ilvl w:val="0"/>
          <w:numId w:val="2"/>
        </w:numPr>
        <w:spacing w:after="0"/>
      </w:pPr>
      <w:r w:rsidRPr="0063465C">
        <w:t xml:space="preserve">Knowledge of Medicare, Medicaid, commercial insurance billing, and denial management required. </w:t>
      </w:r>
    </w:p>
    <w:p w14:paraId="4BE4D6C6" w14:textId="77777777" w:rsidR="0063465C" w:rsidRPr="0063465C" w:rsidRDefault="0063465C" w:rsidP="0063465C">
      <w:pPr>
        <w:numPr>
          <w:ilvl w:val="0"/>
          <w:numId w:val="2"/>
        </w:numPr>
        <w:spacing w:after="0"/>
      </w:pPr>
      <w:r w:rsidRPr="0063465C">
        <w:t xml:space="preserve">CAH, RHC, or hospital billing experience preferred. </w:t>
      </w:r>
    </w:p>
    <w:p w14:paraId="2510348F" w14:textId="77777777" w:rsidR="0063465C" w:rsidRPr="0063465C" w:rsidRDefault="0063465C" w:rsidP="0063465C">
      <w:pPr>
        <w:spacing w:after="0"/>
      </w:pPr>
      <w:r w:rsidRPr="0063465C">
        <w:pict w14:anchorId="39CDCCBB">
          <v:rect id="_x0000_i1051" style="width:0;height:1.5pt" o:hralign="center" o:hrstd="t" o:hr="t" fillcolor="#a0a0a0" stroked="f"/>
        </w:pict>
      </w:r>
    </w:p>
    <w:p w14:paraId="79BD287D" w14:textId="77777777" w:rsidR="0063465C" w:rsidRPr="0063465C" w:rsidRDefault="0063465C" w:rsidP="0063465C">
      <w:pPr>
        <w:spacing w:after="0"/>
        <w:rPr>
          <w:b/>
          <w:bCs/>
        </w:rPr>
      </w:pPr>
      <w:r w:rsidRPr="0063465C">
        <w:rPr>
          <w:b/>
          <w:bCs/>
        </w:rPr>
        <w:t>Skills &amp; Abilities</w:t>
      </w:r>
    </w:p>
    <w:p w14:paraId="68C73BBE" w14:textId="77777777" w:rsidR="0063465C" w:rsidRPr="0063465C" w:rsidRDefault="0063465C" w:rsidP="0063465C">
      <w:pPr>
        <w:numPr>
          <w:ilvl w:val="0"/>
          <w:numId w:val="3"/>
        </w:numPr>
        <w:spacing w:after="0"/>
      </w:pPr>
      <w:r w:rsidRPr="0063465C">
        <w:t xml:space="preserve">Strong knowledge of healthcare billing and reimbursement processes. </w:t>
      </w:r>
    </w:p>
    <w:p w14:paraId="3E4BDD70" w14:textId="77777777" w:rsidR="0063465C" w:rsidRPr="0063465C" w:rsidRDefault="0063465C" w:rsidP="0063465C">
      <w:pPr>
        <w:numPr>
          <w:ilvl w:val="0"/>
          <w:numId w:val="3"/>
        </w:numPr>
        <w:spacing w:after="0"/>
      </w:pPr>
      <w:r w:rsidRPr="0063465C">
        <w:t xml:space="preserve">Excellent organizational, communication, and problem-solving skills. </w:t>
      </w:r>
    </w:p>
    <w:p w14:paraId="7F7ADD5D" w14:textId="77777777" w:rsidR="0063465C" w:rsidRPr="0063465C" w:rsidRDefault="0063465C" w:rsidP="0063465C">
      <w:pPr>
        <w:numPr>
          <w:ilvl w:val="0"/>
          <w:numId w:val="3"/>
        </w:numPr>
        <w:spacing w:after="0"/>
      </w:pPr>
      <w:r w:rsidRPr="0063465C">
        <w:lastRenderedPageBreak/>
        <w:t xml:space="preserve">Ability to manage multiple priorities and maintain confidentiality. </w:t>
      </w:r>
    </w:p>
    <w:p w14:paraId="278B2429" w14:textId="77777777" w:rsidR="0063465C" w:rsidRPr="0063465C" w:rsidRDefault="0063465C" w:rsidP="0063465C">
      <w:pPr>
        <w:numPr>
          <w:ilvl w:val="0"/>
          <w:numId w:val="3"/>
        </w:numPr>
        <w:spacing w:after="0"/>
      </w:pPr>
      <w:r w:rsidRPr="0063465C">
        <w:t xml:space="preserve">Proficient with EHR and billing systems. </w:t>
      </w:r>
    </w:p>
    <w:p w14:paraId="1FF6F79D" w14:textId="77777777" w:rsidR="0063465C" w:rsidRPr="0063465C" w:rsidRDefault="0063465C" w:rsidP="0063465C">
      <w:pPr>
        <w:spacing w:after="0"/>
      </w:pPr>
      <w:r w:rsidRPr="0063465C">
        <w:pict w14:anchorId="2734001F">
          <v:rect id="_x0000_i1052" style="width:0;height:1.5pt" o:hralign="center" o:hrstd="t" o:hr="t" fillcolor="#a0a0a0" stroked="f"/>
        </w:pict>
      </w:r>
    </w:p>
    <w:p w14:paraId="6085F6C8" w14:textId="77777777" w:rsidR="0063465C" w:rsidRPr="0063465C" w:rsidRDefault="0063465C" w:rsidP="0063465C">
      <w:pPr>
        <w:spacing w:after="0"/>
        <w:rPr>
          <w:b/>
          <w:bCs/>
        </w:rPr>
      </w:pPr>
      <w:r w:rsidRPr="0063465C">
        <w:rPr>
          <w:b/>
          <w:bCs/>
        </w:rPr>
        <w:t>Reports To</w:t>
      </w:r>
    </w:p>
    <w:p w14:paraId="0E595211" w14:textId="77777777" w:rsidR="0063465C" w:rsidRPr="0063465C" w:rsidRDefault="0063465C" w:rsidP="0063465C">
      <w:pPr>
        <w:spacing w:after="0"/>
      </w:pPr>
      <w:r w:rsidRPr="0063465C">
        <w:t>Director of Revenue Cycle / CFO</w:t>
      </w:r>
    </w:p>
    <w:p w14:paraId="4F35C163" w14:textId="77777777" w:rsidR="00804500" w:rsidRDefault="00804500"/>
    <w:sectPr w:rsidR="00804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13E78"/>
    <w:multiLevelType w:val="multilevel"/>
    <w:tmpl w:val="A2BC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93BE3"/>
    <w:multiLevelType w:val="multilevel"/>
    <w:tmpl w:val="7F9E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E4C0E"/>
    <w:multiLevelType w:val="multilevel"/>
    <w:tmpl w:val="FF66A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72353">
    <w:abstractNumId w:val="2"/>
  </w:num>
  <w:num w:numId="2" w16cid:durableId="1612586764">
    <w:abstractNumId w:val="1"/>
  </w:num>
  <w:num w:numId="3" w16cid:durableId="32729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65C"/>
    <w:rsid w:val="001E5325"/>
    <w:rsid w:val="004568E3"/>
    <w:rsid w:val="005B5199"/>
    <w:rsid w:val="0063465C"/>
    <w:rsid w:val="00804500"/>
    <w:rsid w:val="008D4C83"/>
    <w:rsid w:val="00C45F28"/>
    <w:rsid w:val="00E1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9845"/>
  <w15:chartTrackingRefBased/>
  <w15:docId w15:val="{275E2780-1C60-431B-830C-85281E50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6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6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6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65C"/>
    <w:rPr>
      <w:rFonts w:eastAsiaTheme="majorEastAsia" w:cstheme="majorBidi"/>
      <w:color w:val="272727" w:themeColor="text1" w:themeTint="D8"/>
    </w:rPr>
  </w:style>
  <w:style w:type="paragraph" w:styleId="Title">
    <w:name w:val="Title"/>
    <w:basedOn w:val="Normal"/>
    <w:next w:val="Normal"/>
    <w:link w:val="TitleChar"/>
    <w:uiPriority w:val="10"/>
    <w:qFormat/>
    <w:rsid w:val="00634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65C"/>
    <w:pPr>
      <w:spacing w:before="160"/>
      <w:jc w:val="center"/>
    </w:pPr>
    <w:rPr>
      <w:i/>
      <w:iCs/>
      <w:color w:val="404040" w:themeColor="text1" w:themeTint="BF"/>
    </w:rPr>
  </w:style>
  <w:style w:type="character" w:customStyle="1" w:styleId="QuoteChar">
    <w:name w:val="Quote Char"/>
    <w:basedOn w:val="DefaultParagraphFont"/>
    <w:link w:val="Quote"/>
    <w:uiPriority w:val="29"/>
    <w:rsid w:val="0063465C"/>
    <w:rPr>
      <w:i/>
      <w:iCs/>
      <w:color w:val="404040" w:themeColor="text1" w:themeTint="BF"/>
    </w:rPr>
  </w:style>
  <w:style w:type="paragraph" w:styleId="ListParagraph">
    <w:name w:val="List Paragraph"/>
    <w:basedOn w:val="Normal"/>
    <w:uiPriority w:val="34"/>
    <w:qFormat/>
    <w:rsid w:val="0063465C"/>
    <w:pPr>
      <w:ind w:left="720"/>
      <w:contextualSpacing/>
    </w:pPr>
  </w:style>
  <w:style w:type="character" w:styleId="IntenseEmphasis">
    <w:name w:val="Intense Emphasis"/>
    <w:basedOn w:val="DefaultParagraphFont"/>
    <w:uiPriority w:val="21"/>
    <w:qFormat/>
    <w:rsid w:val="0063465C"/>
    <w:rPr>
      <w:i/>
      <w:iCs/>
      <w:color w:val="2F5496" w:themeColor="accent1" w:themeShade="BF"/>
    </w:rPr>
  </w:style>
  <w:style w:type="paragraph" w:styleId="IntenseQuote">
    <w:name w:val="Intense Quote"/>
    <w:basedOn w:val="Normal"/>
    <w:next w:val="Normal"/>
    <w:link w:val="IntenseQuoteChar"/>
    <w:uiPriority w:val="30"/>
    <w:qFormat/>
    <w:rsid w:val="00634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65C"/>
    <w:rPr>
      <w:i/>
      <w:iCs/>
      <w:color w:val="2F5496" w:themeColor="accent1" w:themeShade="BF"/>
    </w:rPr>
  </w:style>
  <w:style w:type="character" w:styleId="IntenseReference">
    <w:name w:val="Intense Reference"/>
    <w:basedOn w:val="DefaultParagraphFont"/>
    <w:uiPriority w:val="32"/>
    <w:qFormat/>
    <w:rsid w:val="006346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1596</Characters>
  <Application>Microsoft Office Word</Application>
  <DocSecurity>0</DocSecurity>
  <Lines>13</Lines>
  <Paragraphs>3</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Boyte</dc:creator>
  <cp:keywords/>
  <dc:description/>
  <cp:lastModifiedBy>Ashley Boyte</cp:lastModifiedBy>
  <cp:revision>1</cp:revision>
  <dcterms:created xsi:type="dcterms:W3CDTF">2026-05-12T18:18:00Z</dcterms:created>
  <dcterms:modified xsi:type="dcterms:W3CDTF">2026-05-12T18:19:00Z</dcterms:modified>
</cp:coreProperties>
</file>